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18897" w14:textId="77777777" w:rsidR="00D32343" w:rsidRPr="002950E5" w:rsidRDefault="00D32343" w:rsidP="00083857">
      <w:pPr>
        <w:pStyle w:val="Heading2"/>
        <w:jc w:val="right"/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</w:pPr>
      <w:bookmarkStart w:id="0" w:name="_Toc435686842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Anexa </w:t>
      </w:r>
      <w:r w:rsidR="000854D4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1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– </w:t>
      </w:r>
      <w:r w:rsidR="005433EF"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Grila de verificare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</w:t>
      </w:r>
    </w:p>
    <w:p w14:paraId="27B1E000" w14:textId="77777777" w:rsidR="00D32343" w:rsidRPr="002950E5" w:rsidRDefault="00D32343" w:rsidP="00F81309">
      <w:pPr>
        <w:pStyle w:val="Heading4"/>
        <w:rPr>
          <w:rFonts w:ascii="Trebuchet MS" w:hAnsi="Trebuchet MS" w:cs="Arial"/>
          <w:color w:val="1F497D" w:themeColor="text2"/>
          <w:sz w:val="22"/>
          <w:szCs w:val="22"/>
          <w:lang w:val="ro-RO"/>
        </w:rPr>
      </w:pPr>
      <w:bookmarkStart w:id="1" w:name="_Toc435686843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 xml:space="preserve">A1. Criterii de verificare  a conformității </w:t>
      </w:r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>administrative</w:t>
      </w:r>
      <w:bookmarkEnd w:id="1"/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"/>
        <w:gridCol w:w="3191"/>
        <w:gridCol w:w="4371"/>
        <w:gridCol w:w="5763"/>
      </w:tblGrid>
      <w:tr w:rsidR="00AD6716" w:rsidRPr="002950E5" w14:paraId="0B6896AF" w14:textId="77777777" w:rsidTr="00AD6716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14:paraId="6DEB1CFD" w14:textId="77777777" w:rsidR="00AD6716" w:rsidRPr="002950E5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14:paraId="6FC41091" w14:textId="77777777" w:rsidR="00AD6716" w:rsidRPr="002950E5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633" w:type="pct"/>
            <w:gridSpan w:val="2"/>
            <w:shd w:val="clear" w:color="auto" w:fill="DBE5F1"/>
            <w:vAlign w:val="center"/>
          </w:tcPr>
          <w:p w14:paraId="4FBC71DA" w14:textId="77777777" w:rsidR="00AD6716" w:rsidRPr="002950E5" w:rsidRDefault="00AD6716" w:rsidP="00AD6716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</w:t>
            </w:r>
          </w:p>
        </w:tc>
      </w:tr>
      <w:tr w:rsidR="002950E5" w:rsidRPr="002950E5" w14:paraId="6FED49E8" w14:textId="77777777" w:rsidTr="007D2F0B">
        <w:tc>
          <w:tcPr>
            <w:tcW w:w="223" w:type="pct"/>
            <w:vAlign w:val="center"/>
          </w:tcPr>
          <w:p w14:paraId="46696CEC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14:paraId="55848029" w14:textId="77777777" w:rsidR="00B62250" w:rsidRPr="002950E5" w:rsidRDefault="00B62250" w:rsidP="00B62250">
            <w:pPr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 xml:space="preserve">Cererea de finanțare conține toate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anexele solicitate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14:paraId="57358A59" w14:textId="77777777" w:rsidR="00D32343" w:rsidRPr="002950E5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14:paraId="3C094FEC" w14:textId="77777777" w:rsidR="00B62250" w:rsidRPr="002950E5" w:rsidRDefault="00B62250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Conditii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Specifice.</w:t>
            </w:r>
          </w:p>
          <w:p w14:paraId="4C4BF789" w14:textId="77777777" w:rsidR="00D32343" w:rsidRPr="002950E5" w:rsidRDefault="00D32343" w:rsidP="00AD6716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14:paraId="196424B4" w14:textId="327F7D93" w:rsidR="00F074C3" w:rsidRPr="00AD6716" w:rsidRDefault="00F074C3" w:rsidP="00F074C3">
            <w:pPr>
              <w:pStyle w:val="ListParagraph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AD6716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Documente </w:t>
            </w:r>
            <w:proofErr w:type="spellStart"/>
            <w:r w:rsidRPr="00AD6716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încarcate</w:t>
            </w:r>
            <w:proofErr w:type="spellEnd"/>
            <w:r w:rsidRPr="00AD6716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 de solicitant în sistemul </w:t>
            </w:r>
            <w:proofErr w:type="spellStart"/>
            <w:r w:rsidR="007918CB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</w:t>
            </w:r>
            <w:r w:rsidRPr="00AD6716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ySMIS</w:t>
            </w:r>
            <w:proofErr w:type="spellEnd"/>
          </w:p>
          <w:p w14:paraId="31E0D061" w14:textId="77777777" w:rsidR="0071220F" w:rsidRPr="00AD6716" w:rsidRDefault="0071220F" w:rsidP="0071220F">
            <w:pPr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AD6716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1.Documentul Unic pentru verificarea Conformității Administrative și a Eligibilității (DUCAE) pentru Solicitant/Lider - Anexa nr. 2 </w:t>
            </w:r>
            <w:r w:rsidR="00AD6716" w:rsidRPr="00AD6716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la </w:t>
            </w:r>
            <w:r w:rsidRPr="00AD6716">
              <w:rPr>
                <w:rFonts w:ascii="Trebuchet MS" w:eastAsia="Calibri" w:hAnsi="Trebuchet MS" w:cs="Arial"/>
                <w:i/>
                <w:color w:val="1F497D" w:themeColor="text2"/>
                <w:sz w:val="22"/>
                <w:szCs w:val="22"/>
                <w:lang w:val="ro-RO"/>
              </w:rPr>
              <w:t>Orientări privind accesarea finanțărilor în cadrul Programului Operațional Capital Uman 2014-2020</w:t>
            </w:r>
          </w:p>
          <w:p w14:paraId="18A6DB8D" w14:textId="77777777" w:rsidR="0071220F" w:rsidRPr="00AD6716" w:rsidRDefault="0071220F" w:rsidP="0071220F">
            <w:pPr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14:paraId="5441808B" w14:textId="3F9FDAC0" w:rsidR="00D32343" w:rsidRPr="00AD6716" w:rsidRDefault="0071220F" w:rsidP="00AD6716">
            <w:pPr>
              <w:spacing w:before="120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 w:eastAsia="ro-RO"/>
              </w:rPr>
            </w:pPr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>Se verifica daca aceste anexe exista si daca respecta</w:t>
            </w:r>
            <w:r w:rsidR="007918CB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>conditiile</w:t>
            </w:r>
            <w:proofErr w:type="spellEnd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de forma si fond </w:t>
            </w:r>
            <w:proofErr w:type="spellStart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>prevazute</w:t>
            </w:r>
            <w:proofErr w:type="spellEnd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in documentul </w:t>
            </w:r>
            <w:proofErr w:type="spellStart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>Orientãri</w:t>
            </w:r>
            <w:proofErr w:type="spellEnd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</w:t>
            </w:r>
            <w:proofErr w:type="spellStart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>finanțãrilor</w:t>
            </w:r>
            <w:proofErr w:type="spellEnd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în cadrul POCU 2014-2020 cu </w:t>
            </w:r>
            <w:proofErr w:type="spellStart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</w:p>
        </w:tc>
      </w:tr>
      <w:tr w:rsidR="002950E5" w:rsidRPr="002950E5" w14:paraId="064A3A7E" w14:textId="77777777" w:rsidTr="007D2F0B">
        <w:tc>
          <w:tcPr>
            <w:tcW w:w="223" w:type="pct"/>
            <w:vAlign w:val="center"/>
          </w:tcPr>
          <w:p w14:paraId="7D393B52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2.</w:t>
            </w:r>
          </w:p>
        </w:tc>
        <w:tc>
          <w:tcPr>
            <w:tcW w:w="1144" w:type="pct"/>
            <w:vAlign w:val="center"/>
          </w:tcPr>
          <w:p w14:paraId="17A5A450" w14:textId="77777777" w:rsidR="00D32343" w:rsidRPr="002950E5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Cererea de finanțare este semnat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tre reprezentantul legal</w:t>
            </w:r>
            <w:r w:rsidR="004D6B6A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sau de împuternicitul acestuia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14:paraId="489D5DB7" w14:textId="77777777" w:rsidR="00D32343" w:rsidRPr="002950E5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dac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066" w:type="pct"/>
          </w:tcPr>
          <w:p w14:paraId="5821085A" w14:textId="77777777" w:rsidR="00D32343" w:rsidRPr="002950E5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</w:tbl>
    <w:p w14:paraId="68B2A66C" w14:textId="77777777" w:rsidR="00D32343" w:rsidRPr="002950E5" w:rsidRDefault="00D32343" w:rsidP="00F81309">
      <w:pPr>
        <w:pStyle w:val="Heading4"/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</w:pPr>
      <w:bookmarkStart w:id="2" w:name="_Toc435686844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3"/>
        <w:gridCol w:w="4125"/>
        <w:gridCol w:w="3347"/>
        <w:gridCol w:w="5902"/>
      </w:tblGrid>
      <w:tr w:rsidR="00413594" w:rsidRPr="002950E5" w14:paraId="3A9058E4" w14:textId="77777777" w:rsidTr="00413594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14:paraId="28A77559" w14:textId="77777777" w:rsidR="00413594" w:rsidRPr="002950E5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14:paraId="3B4D9154" w14:textId="77777777" w:rsidR="00413594" w:rsidRPr="002950E5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283" w:type="pct"/>
            <w:gridSpan w:val="2"/>
            <w:shd w:val="clear" w:color="auto" w:fill="BFBFBF"/>
            <w:vAlign w:val="center"/>
          </w:tcPr>
          <w:p w14:paraId="29CD0D9F" w14:textId="77777777" w:rsidR="00413594" w:rsidRPr="002950E5" w:rsidRDefault="00413594" w:rsidP="0041359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</w:t>
            </w:r>
          </w:p>
        </w:tc>
      </w:tr>
      <w:tr w:rsidR="002950E5" w:rsidRPr="002950E5" w14:paraId="38883781" w14:textId="77777777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14:paraId="4EAEEB49" w14:textId="77777777" w:rsidR="00D32343" w:rsidRPr="002950E5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14:paraId="27851BCC" w14:textId="77777777"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14:paraId="6EFCEDE0" w14:textId="77777777" w:rsidTr="007D2F0B">
        <w:tc>
          <w:tcPr>
            <w:tcW w:w="253" w:type="pct"/>
            <w:vAlign w:val="center"/>
          </w:tcPr>
          <w:p w14:paraId="5CC613E6" w14:textId="77777777"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14:paraId="35F635B2" w14:textId="77777777" w:rsidR="00D32343" w:rsidRPr="002950E5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partenerii, daca este cazul,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fac parte din categoria de beneficiari eligibili și îndepline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188" w:type="pct"/>
            <w:vAlign w:val="center"/>
          </w:tcPr>
          <w:p w14:paraId="4176D105" w14:textId="77777777" w:rsidR="00D32343" w:rsidRPr="002950E5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063D811D" w14:textId="77777777" w:rsidR="00083857" w:rsidRPr="002950E5" w:rsidRDefault="007D2F0B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-  Solicitantul fac</w:t>
            </w:r>
            <w:r w:rsidR="00435AA1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e</w:t>
            </w: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parte din categoriile de beneficiari eligibili </w:t>
            </w:r>
            <w:r w:rsidR="00DA1209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menționate</w:t>
            </w: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în Ghidul Solicitantului - Condiții Specifice.</w:t>
            </w:r>
          </w:p>
          <w:p w14:paraId="078AB2E0" w14:textId="77777777" w:rsidR="00D32343" w:rsidRPr="002950E5" w:rsidRDefault="00D32343" w:rsidP="007918CB">
            <w:pPr>
              <w:autoSpaceDE w:val="0"/>
              <w:autoSpaceDN w:val="0"/>
              <w:adjustRightInd w:val="0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</w:pPr>
          </w:p>
        </w:tc>
      </w:tr>
      <w:tr w:rsidR="002950E5" w:rsidRPr="002950E5" w14:paraId="25C2F152" w14:textId="77777777" w:rsidTr="007D2F0B">
        <w:tc>
          <w:tcPr>
            <w:tcW w:w="2905" w:type="pct"/>
            <w:gridSpan w:val="3"/>
            <w:vAlign w:val="center"/>
          </w:tcPr>
          <w:p w14:paraId="783EA00C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t xml:space="preserve">Eligibilitatea proiectului </w:t>
            </w:r>
          </w:p>
        </w:tc>
        <w:tc>
          <w:tcPr>
            <w:tcW w:w="2095" w:type="pct"/>
          </w:tcPr>
          <w:p w14:paraId="158EE3B9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14:paraId="73851072" w14:textId="77777777" w:rsidTr="007D2F0B">
        <w:tc>
          <w:tcPr>
            <w:tcW w:w="253" w:type="pct"/>
            <w:vAlign w:val="center"/>
          </w:tcPr>
          <w:p w14:paraId="42B0AAB5" w14:textId="77777777"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4</w:t>
            </w:r>
          </w:p>
        </w:tc>
        <w:tc>
          <w:tcPr>
            <w:tcW w:w="1464" w:type="pct"/>
            <w:vAlign w:val="center"/>
          </w:tcPr>
          <w:p w14:paraId="0E91CC61" w14:textId="77777777"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propus spre finanțare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aceleași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aceiași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dublă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finanțare)?</w:t>
            </w:r>
            <w:r w:rsidRPr="002950E5">
              <w:rPr>
                <w:rStyle w:val="FootnoteReference"/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footnoteReference w:id="1"/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14:paraId="0A5A6AED" w14:textId="77777777" w:rsidR="003243C0" w:rsidRPr="002950E5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49C4B6BA" w14:textId="77777777"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1AA2D2FE" w14:textId="77777777" w:rsidR="003243C0" w:rsidRPr="002950E5" w:rsidRDefault="00BF4B7E" w:rsidP="003243C0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 a declarat în Declarația privind evitarea dublei finanțări</w:t>
            </w:r>
            <w:r w:rsidR="00D80DE3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că  proiectul propus spre finanțare (activitățile proiectului, cu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aceleaşi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aceiaşi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ţintă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2950E5" w:rsidRPr="002950E5" w14:paraId="434C3B35" w14:textId="77777777" w:rsidTr="007D2F0B">
        <w:tc>
          <w:tcPr>
            <w:tcW w:w="253" w:type="pct"/>
            <w:vAlign w:val="center"/>
          </w:tcPr>
          <w:p w14:paraId="52D4CBC4" w14:textId="77777777"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14:paraId="4899FCD6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toate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plățile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14:paraId="56858764" w14:textId="77777777" w:rsidR="009612FD" w:rsidRPr="002950E5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5BA7E583" w14:textId="77777777"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531CB8CB" w14:textId="77777777" w:rsidR="007331A1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14:paraId="22196534" w14:textId="32204F46" w:rsidR="007331A1" w:rsidRPr="002950E5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D4136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 a bifat NU în cererea de finanțare (în vederea respectării dispozițiilor art. 65 alin. (6) din Reg. CE nr. 1303/2013 privind eligibilitatea cheltuielilor). Ulterior, dacă a bifat și DEMARAT, se verifică dacă a precizat că a respectat legislația relevantă aplicabilă proiectului, conform art.125, alin 3, lit. (e) din Reg. CE nr. 1303/2013</w:t>
            </w:r>
          </w:p>
        </w:tc>
      </w:tr>
      <w:tr w:rsidR="002950E5" w:rsidRPr="002950E5" w14:paraId="5CAE223F" w14:textId="77777777" w:rsidTr="007D2F0B">
        <w:tc>
          <w:tcPr>
            <w:tcW w:w="253" w:type="pct"/>
            <w:vAlign w:val="center"/>
          </w:tcPr>
          <w:p w14:paraId="5E882663" w14:textId="77777777"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14:paraId="28357E68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se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73F187A" w14:textId="77777777" w:rsidR="00FD21C5" w:rsidRPr="002950E5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3A9AB8BE" w14:textId="77777777" w:rsidR="00D32343" w:rsidRPr="002950E5" w:rsidRDefault="00985A4C" w:rsidP="00DC5169">
            <w:pPr>
              <w:spacing w:before="120" w:after="12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investiţii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obiectivul specific, indicatorii de realizare imediată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rezultat și măsurile relevante, conform POCU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Ghidului Solicitantului.</w:t>
            </w:r>
          </w:p>
        </w:tc>
      </w:tr>
      <w:tr w:rsidR="002950E5" w:rsidRPr="002950E5" w14:paraId="4070BFD4" w14:textId="77777777" w:rsidTr="007D2F0B">
        <w:tc>
          <w:tcPr>
            <w:tcW w:w="253" w:type="pct"/>
            <w:vAlign w:val="center"/>
          </w:tcPr>
          <w:p w14:paraId="1F64A0D5" w14:textId="77777777"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14:paraId="727ACBF7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eligibil?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6BEFB299" w14:textId="77777777"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5A378C3" w14:textId="77777777" w:rsidR="00597BE6" w:rsidRDefault="00597BE6" w:rsidP="00083857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țintă al proiectului  se </w:t>
            </w:r>
            <w:proofErr w:type="spellStart"/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încadreaza</w:t>
            </w:r>
            <w:proofErr w:type="spellEnd"/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categoriile eligibile menționate în Ghidul Solic</w:t>
            </w:r>
            <w:r w:rsidR="00083857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itantului - Condiții Specifice</w:t>
            </w:r>
            <w:r w:rsidR="003E18E0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  <w:p w14:paraId="4B5CC14F" w14:textId="77777777" w:rsidR="003E18E0" w:rsidRPr="002950E5" w:rsidRDefault="003E18E0" w:rsidP="003E18E0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985A4C" w:rsidRPr="002950E5" w14:paraId="5970A1C1" w14:textId="77777777" w:rsidTr="00812218">
        <w:tc>
          <w:tcPr>
            <w:tcW w:w="253" w:type="pct"/>
            <w:vAlign w:val="center"/>
          </w:tcPr>
          <w:p w14:paraId="407BF079" w14:textId="77777777"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14:paraId="6DC51E3B" w14:textId="77777777"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proiectului, contribuția financiară solicitată, valoarea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subcontractării și durata acestuia se încadrează în limitele stabilite în Ghidul Solicitantului -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Pr="002950E5">
              <w:rPr>
                <w:rFonts w:ascii="Trebuchet MS" w:eastAsia="Calibri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</w:tcPr>
          <w:p w14:paraId="3E25BA31" w14:textId="77777777" w:rsidR="00985A4C" w:rsidRDefault="00985A4C" w:rsidP="00985A4C"/>
        </w:tc>
        <w:tc>
          <w:tcPr>
            <w:tcW w:w="2095" w:type="pct"/>
          </w:tcPr>
          <w:p w14:paraId="4864ADE9" w14:textId="77777777" w:rsidR="00985A4C" w:rsidRDefault="00DA1209" w:rsidP="00985A4C">
            <w:r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totală a proiectului 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(daca este cazul) si valoarea asistenței financiare nerambursabile solicitate 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se </w:t>
            </w:r>
            <w:r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înscriu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limitele stabilite în Ghidul Solicitantului - Condiții Specifice.</w:t>
            </w:r>
          </w:p>
        </w:tc>
      </w:tr>
      <w:tr w:rsidR="002950E5" w:rsidRPr="002950E5" w14:paraId="0351B679" w14:textId="77777777" w:rsidTr="007D2F0B">
        <w:tc>
          <w:tcPr>
            <w:tcW w:w="253" w:type="pct"/>
            <w:vAlign w:val="center"/>
          </w:tcPr>
          <w:p w14:paraId="50FA4859" w14:textId="77777777"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9</w:t>
            </w:r>
          </w:p>
        </w:tc>
        <w:tc>
          <w:tcPr>
            <w:tcW w:w="1464" w:type="pct"/>
            <w:vAlign w:val="center"/>
          </w:tcPr>
          <w:p w14:paraId="2CB65301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14:paraId="699B0A94" w14:textId="77777777"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7BF1B8F6" w14:textId="77777777" w:rsidR="00D32343" w:rsidRPr="002950E5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048D1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Durata de implementare a proiectului se încadrează în durata maximă prevăzută în Ghidul solicitantului - condiții specifice.</w:t>
            </w:r>
          </w:p>
        </w:tc>
      </w:tr>
      <w:tr w:rsidR="002950E5" w:rsidRPr="002950E5" w14:paraId="145E26B8" w14:textId="77777777" w:rsidTr="007D2F0B">
        <w:tc>
          <w:tcPr>
            <w:tcW w:w="253" w:type="pct"/>
            <w:vAlign w:val="center"/>
          </w:tcPr>
          <w:p w14:paraId="70D1F23B" w14:textId="77777777" w:rsidR="00D32343" w:rsidRPr="002950E5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14:paraId="4146BD11" w14:textId="77777777" w:rsidR="00D32343" w:rsidRPr="002950E5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51D01ADA" w14:textId="77777777"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04B7A5BE" w14:textId="56108E08" w:rsidR="007331A1" w:rsidRPr="002950E5" w:rsidRDefault="005704D5" w:rsidP="004B2BAC">
            <w:pP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5704D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Cheltuielile prevăzute la capitolul de cheltuieli eligibile trebuie să fie conforme cu cele prevăzute în Ghidul Solicitantului - Condiții Specifice.</w:t>
            </w:r>
          </w:p>
        </w:tc>
      </w:tr>
      <w:tr w:rsidR="002950E5" w:rsidRPr="002950E5" w14:paraId="2C496A00" w14:textId="77777777" w:rsidTr="007D2F0B">
        <w:tc>
          <w:tcPr>
            <w:tcW w:w="253" w:type="pct"/>
            <w:vAlign w:val="center"/>
          </w:tcPr>
          <w:p w14:paraId="7B001943" w14:textId="77777777"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14:paraId="4DD616ED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cofinanţare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14:paraId="293A580B" w14:textId="77777777"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3E505E96" w14:textId="77777777" w:rsidR="00985A4C" w:rsidRPr="002950E5" w:rsidRDefault="00D32343" w:rsidP="00985A4C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contribuției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proprie minima pentru </w:t>
            </w:r>
            <w:r w:rsidR="00B16340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conform prevederilor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hidului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Solicitantului -C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ondi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ii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</w:t>
            </w:r>
            <w:r w:rsidR="00985A4C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pecifice.</w:t>
            </w:r>
          </w:p>
        </w:tc>
      </w:tr>
      <w:tr w:rsidR="002950E5" w:rsidRPr="002950E5" w14:paraId="66E9A817" w14:textId="77777777" w:rsidTr="007D2F0B">
        <w:tc>
          <w:tcPr>
            <w:tcW w:w="253" w:type="pct"/>
            <w:vAlign w:val="center"/>
          </w:tcPr>
          <w:p w14:paraId="17743CBF" w14:textId="77777777"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14:paraId="614B2E72" w14:textId="77777777"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obligatorii?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1C41BB0F" w14:textId="77777777"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20B1FAA7" w14:textId="77777777" w:rsidR="00122C7C" w:rsidRPr="002950E5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highlight w:val="yellow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trebuie să cuprindă cel puțin activitățile obligatorii, prevăzute în Ghidul Solicitantului.</w:t>
            </w:r>
          </w:p>
        </w:tc>
      </w:tr>
      <w:tr w:rsidR="005704D5" w:rsidRPr="002950E5" w14:paraId="49A35B5C" w14:textId="77777777" w:rsidTr="007D2F0B">
        <w:tc>
          <w:tcPr>
            <w:tcW w:w="253" w:type="pct"/>
            <w:vAlign w:val="center"/>
          </w:tcPr>
          <w:p w14:paraId="2CE268E0" w14:textId="77777777" w:rsidR="005704D5" w:rsidRPr="002950E5" w:rsidRDefault="005704D5" w:rsidP="005704D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14:paraId="04DE3025" w14:textId="77777777" w:rsidR="005704D5" w:rsidRPr="002950E5" w:rsidRDefault="005704D5" w:rsidP="005704D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14:paraId="5AE9BBF4" w14:textId="77777777" w:rsidR="005704D5" w:rsidRPr="002950E5" w:rsidRDefault="005704D5" w:rsidP="005704D5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14:paraId="3F03E073" w14:textId="77777777" w:rsidR="005704D5" w:rsidRPr="00A01DCF" w:rsidRDefault="005704D5" w:rsidP="005704D5">
            <w:pPr>
              <w:spacing w:before="120" w:after="120"/>
              <w:ind w:left="1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A01DCF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daca solicitantul a descris în cererea de finanțare masurile minime de informare si publicitate prevăzute documentul </w:t>
            </w:r>
            <w:proofErr w:type="spellStart"/>
            <w:r w:rsidRPr="00A93E5C">
              <w:rPr>
                <w:rFonts w:ascii="Trebuchet MS" w:hAnsi="Trebuchet MS" w:cs="Arial"/>
                <w:i/>
                <w:color w:val="1F497D" w:themeColor="text2"/>
                <w:sz w:val="22"/>
                <w:szCs w:val="22"/>
                <w:lang w:val="ro-RO"/>
              </w:rPr>
              <w:t>Orientari</w:t>
            </w:r>
            <w:proofErr w:type="spellEnd"/>
            <w:r w:rsidRPr="00A93E5C">
              <w:rPr>
                <w:rFonts w:ascii="Trebuchet MS" w:hAnsi="Trebuchet MS" w:cs="Arial"/>
                <w:i/>
                <w:color w:val="1F497D" w:themeColor="text2"/>
                <w:sz w:val="22"/>
                <w:szCs w:val="22"/>
                <w:lang w:val="ro-RO"/>
              </w:rPr>
              <w:t xml:space="preserve"> privind accesarea finanțărilor în cadrul Programului Operațional Capital Uman 2014-2020</w:t>
            </w:r>
            <w:r w:rsidRPr="00A93E5C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– noiembrie 2018</w:t>
            </w:r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. </w:t>
            </w:r>
            <w:r w:rsidRPr="00A01DCF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Masurile minime de informare si publicitate care trebuie descrise în cererea de </w:t>
            </w:r>
            <w:proofErr w:type="spellStart"/>
            <w:r w:rsidRPr="00A01DCF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finantare</w:t>
            </w:r>
            <w:proofErr w:type="spellEnd"/>
            <w:r w:rsidRPr="00A01DCF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sunt:</w:t>
            </w:r>
          </w:p>
          <w:p w14:paraId="12C66702" w14:textId="77777777" w:rsidR="005704D5" w:rsidRPr="00E01BD3" w:rsidRDefault="005704D5" w:rsidP="005704D5">
            <w:pPr>
              <w:spacing w:before="120" w:after="120"/>
              <w:jc w:val="both"/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</w:pPr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- Asigurarea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vizibilitatii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proiectului (prin expunerea unui afiș) la sediul de implementare a proiectului;</w:t>
            </w:r>
          </w:p>
          <w:p w14:paraId="606A794A" w14:textId="77777777" w:rsidR="005704D5" w:rsidRPr="00E01BD3" w:rsidRDefault="005704D5" w:rsidP="005704D5">
            <w:pPr>
              <w:spacing w:before="120" w:after="120"/>
              <w:jc w:val="both"/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</w:pPr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- Beneficiarii se asigura ca cei care participa în cadrul proiectului sunt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informati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în mod specific cu privire la sprijinul acordat prin FSE+ILMT;</w:t>
            </w:r>
          </w:p>
          <w:p w14:paraId="53DC688A" w14:textId="6FBBE33F" w:rsidR="005704D5" w:rsidRPr="004B2BAC" w:rsidRDefault="005704D5" w:rsidP="005704D5">
            <w:pPr>
              <w:spacing w:before="120" w:after="12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- Orice fel de documente referitoare la implementarea proiectelor si publicate pentru public sau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participanti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, inclusiv certificatele de prezenta sau alte certificate, trebuie sa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includa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o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mentiune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cu privire la faptul ca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operatiunea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a fost sprijinita în cadrul FSE+ILMT.</w:t>
            </w:r>
          </w:p>
        </w:tc>
      </w:tr>
    </w:tbl>
    <w:p w14:paraId="1AF4C179" w14:textId="77777777" w:rsidR="000D1166" w:rsidRPr="002950E5" w:rsidRDefault="000D1166" w:rsidP="000D1166">
      <w:pPr>
        <w:spacing w:line="276" w:lineRule="auto"/>
        <w:jc w:val="both"/>
        <w:rPr>
          <w:rFonts w:ascii="Trebuchet MS" w:eastAsia="Calibri" w:hAnsi="Trebuchet MS" w:cs="Arial"/>
          <w:b/>
          <w:color w:val="1F497D" w:themeColor="text2"/>
          <w:sz w:val="22"/>
          <w:szCs w:val="22"/>
          <w:lang w:val="ro-RO"/>
        </w:rPr>
      </w:pPr>
      <w:r w:rsidRPr="002950E5">
        <w:rPr>
          <w:rFonts w:ascii="Trebuchet MS" w:eastAsia="Calibri" w:hAnsi="Trebuchet MS" w:cs="Arial"/>
          <w:b/>
          <w:color w:val="1F497D" w:themeColor="text2"/>
          <w:sz w:val="22"/>
          <w:szCs w:val="22"/>
          <w:lang w:val="ro-RO"/>
        </w:rPr>
        <w:lastRenderedPageBreak/>
        <w:t>*Notă: În cazul în care oricare dintre criterii/subcriterii nu poate fi prelucrat de sistem, el va fi evaluat de către echipa de evaluare.</w:t>
      </w:r>
    </w:p>
    <w:p w14:paraId="3AAF0BC2" w14:textId="77777777" w:rsidR="00D32343" w:rsidRPr="002950E5" w:rsidRDefault="00D32343">
      <w:pPr>
        <w:rPr>
          <w:rFonts w:ascii="Trebuchet MS" w:hAnsi="Trebuchet MS"/>
          <w:color w:val="1F497D" w:themeColor="text2"/>
          <w:sz w:val="22"/>
          <w:szCs w:val="22"/>
          <w:lang w:val="ro-RO"/>
        </w:rPr>
      </w:pPr>
    </w:p>
    <w:sectPr w:rsidR="00D32343" w:rsidRPr="002950E5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8EEC" w14:textId="77777777" w:rsidR="001A6065" w:rsidRDefault="001A6065" w:rsidP="00F81309">
      <w:r>
        <w:separator/>
      </w:r>
    </w:p>
  </w:endnote>
  <w:endnote w:type="continuationSeparator" w:id="0">
    <w:p w14:paraId="0490AFA0" w14:textId="77777777" w:rsidR="001A6065" w:rsidRDefault="001A6065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BC07" w14:textId="77777777" w:rsidR="001A6065" w:rsidRDefault="001A6065" w:rsidP="00F81309">
      <w:r>
        <w:separator/>
      </w:r>
    </w:p>
  </w:footnote>
  <w:footnote w:type="continuationSeparator" w:id="0">
    <w:p w14:paraId="7E5C522E" w14:textId="77777777" w:rsidR="001A6065" w:rsidRDefault="001A6065" w:rsidP="00F81309">
      <w:r>
        <w:continuationSeparator/>
      </w:r>
    </w:p>
  </w:footnote>
  <w:footnote w:id="1">
    <w:p w14:paraId="67C46F38" w14:textId="77777777" w:rsidR="00D32343" w:rsidRDefault="00D32343" w:rsidP="00F81309">
      <w:pPr>
        <w:pStyle w:val="ListParagraph"/>
        <w:ind w:left="142" w:hanging="142"/>
      </w:pPr>
      <w:r w:rsidRPr="00320AC8">
        <w:rPr>
          <w:rStyle w:val="FootnoteReference"/>
          <w:rFonts w:ascii="Calibri" w:hAnsi="Calibri" w:cs="Arial"/>
          <w:lang w:val="ro-RO"/>
        </w:rPr>
        <w:footnoteRef/>
      </w:r>
      <w:r w:rsidRPr="00320AC8">
        <w:rPr>
          <w:rStyle w:val="FootnoteReference"/>
          <w:rFonts w:ascii="Calibri" w:hAnsi="Calibri" w:cs="Arial"/>
          <w:lang w:val="ro-RO"/>
        </w:rPr>
        <w:t xml:space="preserve"> </w:t>
      </w:r>
      <w:r w:rsidRPr="00320AC8">
        <w:rPr>
          <w:rFonts w:ascii="Calibri" w:hAnsi="Calibri" w:cs="Arial"/>
          <w:lang w:val="ro-RO"/>
        </w:rPr>
        <w:t xml:space="preserve"> </w:t>
      </w:r>
      <w:proofErr w:type="spellStart"/>
      <w:r w:rsidRPr="00320AC8">
        <w:rPr>
          <w:sz w:val="18"/>
          <w:szCs w:val="18"/>
        </w:rPr>
        <w:t>Condiţiile</w:t>
      </w:r>
      <w:proofErr w:type="spellEnd"/>
      <w:r w:rsidRPr="00320AC8">
        <w:rPr>
          <w:sz w:val="18"/>
          <w:szCs w:val="18"/>
        </w:rPr>
        <w:t xml:space="preserve"> </w:t>
      </w:r>
      <w:proofErr w:type="spellStart"/>
      <w:r w:rsidRPr="00320AC8">
        <w:rPr>
          <w:sz w:val="18"/>
          <w:szCs w:val="18"/>
        </w:rPr>
        <w:t>trebuie</w:t>
      </w:r>
      <w:proofErr w:type="spellEnd"/>
      <w:r w:rsidRPr="00320AC8">
        <w:rPr>
          <w:sz w:val="18"/>
          <w:szCs w:val="18"/>
        </w:rPr>
        <w:t xml:space="preserve"> </w:t>
      </w:r>
      <w:proofErr w:type="spellStart"/>
      <w:r w:rsidRPr="00320AC8">
        <w:rPr>
          <w:sz w:val="18"/>
          <w:szCs w:val="18"/>
        </w:rPr>
        <w:t>îndeplinite</w:t>
      </w:r>
      <w:proofErr w:type="spellEnd"/>
      <w:r w:rsidRPr="00320AC8">
        <w:rPr>
          <w:sz w:val="18"/>
          <w:szCs w:val="18"/>
        </w:rPr>
        <w:t xml:space="preserve"> </w:t>
      </w:r>
      <w:proofErr w:type="spellStart"/>
      <w:r w:rsidRPr="00320AC8">
        <w:rPr>
          <w:sz w:val="18"/>
          <w:szCs w:val="18"/>
        </w:rPr>
        <w:t>cumulativ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. Solicitantul/beneficiarul trebuie să se asigure că </w:t>
      </w:r>
      <w:proofErr w:type="spellStart"/>
      <w:r w:rsidRPr="00320AC8">
        <w:rPr>
          <w:rFonts w:cs="Arial"/>
          <w:sz w:val="18"/>
          <w:szCs w:val="18"/>
          <w:lang w:val="ro-RO"/>
        </w:rPr>
        <w:t>participanţii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la </w:t>
      </w:r>
      <w:proofErr w:type="spellStart"/>
      <w:r w:rsidRPr="00320AC8">
        <w:rPr>
          <w:rFonts w:cs="Arial"/>
          <w:sz w:val="18"/>
          <w:szCs w:val="18"/>
          <w:lang w:val="ro-RO"/>
        </w:rPr>
        <w:t>operaţiuni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nu au reprezentat grup </w:t>
      </w:r>
      <w:proofErr w:type="spellStart"/>
      <w:r w:rsidRPr="00320AC8">
        <w:rPr>
          <w:rFonts w:cs="Arial"/>
          <w:sz w:val="18"/>
          <w:szCs w:val="18"/>
          <w:lang w:val="ro-RO"/>
        </w:rPr>
        <w:t>ţintă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pentru măsuri similare, </w:t>
      </w:r>
      <w:proofErr w:type="spellStart"/>
      <w:r w:rsidRPr="00320AC8">
        <w:rPr>
          <w:rFonts w:cs="Arial"/>
          <w:sz w:val="18"/>
          <w:szCs w:val="18"/>
          <w:lang w:val="ro-RO"/>
        </w:rPr>
        <w:t>cofinanţate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din fonduri nerambursabile. În cazul în care, în implementare, se constată încălcarea acestui criteriu, contractul de </w:t>
      </w:r>
      <w:proofErr w:type="spellStart"/>
      <w:r w:rsidRPr="00320AC8">
        <w:rPr>
          <w:rFonts w:cs="Arial"/>
          <w:sz w:val="18"/>
          <w:szCs w:val="18"/>
          <w:lang w:val="ro-RO"/>
        </w:rPr>
        <w:t>finanţare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va fi reziliat, conform prevederilor legale în vigoare.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56670576">
    <w:abstractNumId w:val="3"/>
  </w:num>
  <w:num w:numId="2" w16cid:durableId="1070275150">
    <w:abstractNumId w:val="6"/>
  </w:num>
  <w:num w:numId="3" w16cid:durableId="683214537">
    <w:abstractNumId w:val="8"/>
  </w:num>
  <w:num w:numId="4" w16cid:durableId="1591694008">
    <w:abstractNumId w:val="0"/>
  </w:num>
  <w:num w:numId="5" w16cid:durableId="1152409247">
    <w:abstractNumId w:val="5"/>
  </w:num>
  <w:num w:numId="6" w16cid:durableId="33192958">
    <w:abstractNumId w:val="1"/>
  </w:num>
  <w:num w:numId="7" w16cid:durableId="780224634">
    <w:abstractNumId w:val="7"/>
  </w:num>
  <w:num w:numId="8" w16cid:durableId="35080649">
    <w:abstractNumId w:val="4"/>
  </w:num>
  <w:num w:numId="9" w16cid:durableId="1167019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39D"/>
    <w:rsid w:val="000335F9"/>
    <w:rsid w:val="00037A23"/>
    <w:rsid w:val="000451CD"/>
    <w:rsid w:val="0004768E"/>
    <w:rsid w:val="0005248F"/>
    <w:rsid w:val="00060EB2"/>
    <w:rsid w:val="000661D0"/>
    <w:rsid w:val="000770A3"/>
    <w:rsid w:val="00083857"/>
    <w:rsid w:val="000854D4"/>
    <w:rsid w:val="000C6DCE"/>
    <w:rsid w:val="000D1166"/>
    <w:rsid w:val="000D3FE3"/>
    <w:rsid w:val="000F7FE8"/>
    <w:rsid w:val="00122C7C"/>
    <w:rsid w:val="00132DD8"/>
    <w:rsid w:val="00172B35"/>
    <w:rsid w:val="00173A4F"/>
    <w:rsid w:val="00174745"/>
    <w:rsid w:val="00180C97"/>
    <w:rsid w:val="00193D91"/>
    <w:rsid w:val="001A6065"/>
    <w:rsid w:val="001E65E4"/>
    <w:rsid w:val="001F577B"/>
    <w:rsid w:val="002020B8"/>
    <w:rsid w:val="002048D1"/>
    <w:rsid w:val="00220E87"/>
    <w:rsid w:val="002250C1"/>
    <w:rsid w:val="00245D69"/>
    <w:rsid w:val="0025739B"/>
    <w:rsid w:val="0029394C"/>
    <w:rsid w:val="002950E5"/>
    <w:rsid w:val="00297F45"/>
    <w:rsid w:val="002A2260"/>
    <w:rsid w:val="002B716B"/>
    <w:rsid w:val="002E4072"/>
    <w:rsid w:val="0030207A"/>
    <w:rsid w:val="00320AC8"/>
    <w:rsid w:val="0032288E"/>
    <w:rsid w:val="003243C0"/>
    <w:rsid w:val="003278A0"/>
    <w:rsid w:val="00382CC9"/>
    <w:rsid w:val="00394F10"/>
    <w:rsid w:val="003E18E0"/>
    <w:rsid w:val="003E5104"/>
    <w:rsid w:val="003F46D3"/>
    <w:rsid w:val="00413594"/>
    <w:rsid w:val="0042092E"/>
    <w:rsid w:val="00423087"/>
    <w:rsid w:val="00435AA1"/>
    <w:rsid w:val="004B07D0"/>
    <w:rsid w:val="004B2BAC"/>
    <w:rsid w:val="004B6853"/>
    <w:rsid w:val="004D4F0F"/>
    <w:rsid w:val="004D64E1"/>
    <w:rsid w:val="004D6B6A"/>
    <w:rsid w:val="004F497D"/>
    <w:rsid w:val="00537E8A"/>
    <w:rsid w:val="005433EF"/>
    <w:rsid w:val="005704D5"/>
    <w:rsid w:val="00597BE6"/>
    <w:rsid w:val="005C1D73"/>
    <w:rsid w:val="005C2D54"/>
    <w:rsid w:val="0060195D"/>
    <w:rsid w:val="00615992"/>
    <w:rsid w:val="00625DE6"/>
    <w:rsid w:val="00631BAD"/>
    <w:rsid w:val="006C02EE"/>
    <w:rsid w:val="00710328"/>
    <w:rsid w:val="0071220F"/>
    <w:rsid w:val="007331A1"/>
    <w:rsid w:val="0074306D"/>
    <w:rsid w:val="007857DE"/>
    <w:rsid w:val="007918CB"/>
    <w:rsid w:val="007A31D7"/>
    <w:rsid w:val="007A439D"/>
    <w:rsid w:val="007C01A9"/>
    <w:rsid w:val="007D2F0B"/>
    <w:rsid w:val="007E29B8"/>
    <w:rsid w:val="008508CF"/>
    <w:rsid w:val="00873238"/>
    <w:rsid w:val="008835BF"/>
    <w:rsid w:val="008D477D"/>
    <w:rsid w:val="008E37AE"/>
    <w:rsid w:val="009155BF"/>
    <w:rsid w:val="00926327"/>
    <w:rsid w:val="009612FD"/>
    <w:rsid w:val="00973A5B"/>
    <w:rsid w:val="00985A4C"/>
    <w:rsid w:val="009F0808"/>
    <w:rsid w:val="009F1D9C"/>
    <w:rsid w:val="009F319B"/>
    <w:rsid w:val="00A21364"/>
    <w:rsid w:val="00A25821"/>
    <w:rsid w:val="00A61596"/>
    <w:rsid w:val="00A9504D"/>
    <w:rsid w:val="00AA2F16"/>
    <w:rsid w:val="00AA7226"/>
    <w:rsid w:val="00AB1E45"/>
    <w:rsid w:val="00AD6716"/>
    <w:rsid w:val="00AE29D8"/>
    <w:rsid w:val="00AE380A"/>
    <w:rsid w:val="00B16340"/>
    <w:rsid w:val="00B26F53"/>
    <w:rsid w:val="00B62250"/>
    <w:rsid w:val="00B71BDD"/>
    <w:rsid w:val="00B74E70"/>
    <w:rsid w:val="00B94F01"/>
    <w:rsid w:val="00BC2821"/>
    <w:rsid w:val="00BD4E24"/>
    <w:rsid w:val="00BF0A14"/>
    <w:rsid w:val="00BF1A8D"/>
    <w:rsid w:val="00BF4B7E"/>
    <w:rsid w:val="00C005F3"/>
    <w:rsid w:val="00C00D3F"/>
    <w:rsid w:val="00C40E17"/>
    <w:rsid w:val="00C57234"/>
    <w:rsid w:val="00C77BB4"/>
    <w:rsid w:val="00CF3E62"/>
    <w:rsid w:val="00D21BCB"/>
    <w:rsid w:val="00D32343"/>
    <w:rsid w:val="00D41366"/>
    <w:rsid w:val="00D80DE3"/>
    <w:rsid w:val="00D83624"/>
    <w:rsid w:val="00D85F72"/>
    <w:rsid w:val="00DA1209"/>
    <w:rsid w:val="00DB53AB"/>
    <w:rsid w:val="00DC4B2C"/>
    <w:rsid w:val="00DC5169"/>
    <w:rsid w:val="00E03DD3"/>
    <w:rsid w:val="00E10D8A"/>
    <w:rsid w:val="00E10E76"/>
    <w:rsid w:val="00E30551"/>
    <w:rsid w:val="00E73AFA"/>
    <w:rsid w:val="00E74527"/>
    <w:rsid w:val="00E9542E"/>
    <w:rsid w:val="00EB199E"/>
    <w:rsid w:val="00EE57A7"/>
    <w:rsid w:val="00EE5CD0"/>
    <w:rsid w:val="00F07156"/>
    <w:rsid w:val="00F074C3"/>
    <w:rsid w:val="00F106AB"/>
    <w:rsid w:val="00F26950"/>
    <w:rsid w:val="00F3130E"/>
    <w:rsid w:val="00F403B2"/>
    <w:rsid w:val="00F441BF"/>
    <w:rsid w:val="00F60E96"/>
    <w:rsid w:val="00F6653D"/>
    <w:rsid w:val="00F81309"/>
    <w:rsid w:val="00F91857"/>
    <w:rsid w:val="00FC6CB9"/>
    <w:rsid w:val="00FD21C5"/>
    <w:rsid w:val="00FD2259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60DEDF"/>
  <w15:docId w15:val="{687D51F7-7035-4117-B3BB-8972E051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823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Anda-Marina Badulescu</dc:creator>
  <cp:keywords/>
  <dc:description/>
  <cp:lastModifiedBy>Daniel Chitoi</cp:lastModifiedBy>
  <cp:revision>15</cp:revision>
  <dcterms:created xsi:type="dcterms:W3CDTF">2019-04-16T14:19:00Z</dcterms:created>
  <dcterms:modified xsi:type="dcterms:W3CDTF">2022-09-05T12:46:00Z</dcterms:modified>
</cp:coreProperties>
</file>